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37" w:rsidRDefault="006F38CE">
      <w:pPr>
        <w:pStyle w:val="a3"/>
        <w:snapToGrid w:val="0"/>
        <w:spacing w:after="180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231A37" w:rsidRDefault="006F38CE">
      <w:pPr>
        <w:pStyle w:val="a3"/>
        <w:snapToGrid w:val="0"/>
        <w:spacing w:after="180"/>
        <w:ind w:firstLine="157"/>
      </w:pPr>
      <w:r>
        <w:rPr>
          <w:rFonts w:eastAsia="標楷體"/>
          <w:b/>
        </w:rPr>
        <w:t>中小學教師不插電運算思維桌遊教學研習班</w:t>
      </w:r>
    </w:p>
    <w:p w:rsidR="00231A37" w:rsidRDefault="006F38CE">
      <w:pPr>
        <w:pStyle w:val="a3"/>
        <w:snapToGrid w:val="0"/>
        <w:spacing w:after="180"/>
        <w:ind w:firstLine="157"/>
        <w:rPr>
          <w:rFonts w:ascii="Times New Roman" w:eastAsia="標楷體" w:hAnsi="Times New Roman"/>
          <w:b/>
          <w:color w:val="000000"/>
          <w:szCs w:val="28"/>
        </w:rPr>
      </w:pPr>
      <w:bookmarkStart w:id="0" w:name="_GoBack"/>
      <w:r>
        <w:rPr>
          <w:rFonts w:ascii="Times New Roman" w:eastAsia="標楷體" w:hAnsi="Times New Roman"/>
          <w:b/>
          <w:color w:val="000000"/>
          <w:szCs w:val="28"/>
        </w:rPr>
        <w:t>實施計畫</w:t>
      </w:r>
    </w:p>
    <w:bookmarkEnd w:id="0"/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研習依據：</w:t>
      </w:r>
      <w:r>
        <w:rPr>
          <w:rFonts w:eastAsia="標楷體"/>
          <w:color w:val="000000"/>
        </w:rPr>
        <w:t>依據</w:t>
      </w:r>
      <w:r>
        <w:rPr>
          <w:rFonts w:eastAsia="標楷體"/>
        </w:rPr>
        <w:t>本中心</w:t>
      </w:r>
      <w:r>
        <w:rPr>
          <w:rFonts w:eastAsia="標楷體"/>
        </w:rPr>
        <w:t>109</w:t>
      </w:r>
      <w:r>
        <w:rPr>
          <w:rFonts w:eastAsia="標楷體"/>
        </w:rPr>
        <w:t>年度行事曆辦理。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研習目標：</w:t>
      </w:r>
      <w:r>
        <w:rPr>
          <w:rFonts w:eastAsia="標楷體"/>
        </w:rPr>
        <w:t>配合</w:t>
      </w:r>
      <w:r>
        <w:rPr>
          <w:rFonts w:eastAsia="標楷體"/>
        </w:rPr>
        <w:t>108</w:t>
      </w:r>
      <w:r>
        <w:rPr>
          <w:rFonts w:eastAsia="標楷體"/>
        </w:rPr>
        <w:t>課綱之推動，推動本市中小學資訊科技課程發展，以培養本市中小學程式設計教育的師資，並多元化教師教學。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辦理單位：</w:t>
      </w:r>
      <w:r>
        <w:rPr>
          <w:rFonts w:eastAsia="標楷體"/>
          <w:color w:val="000000"/>
        </w:rPr>
        <w:t>臺北市教師研習中心。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研習對象：</w:t>
      </w:r>
      <w:r>
        <w:rPr>
          <w:rFonts w:eastAsia="標楷體"/>
          <w:color w:val="000000"/>
        </w:rPr>
        <w:t>臺北市公私立中小學教師。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研習人數：</w:t>
      </w:r>
      <w:r>
        <w:rPr>
          <w:rFonts w:eastAsia="標楷體"/>
          <w:color w:val="000000"/>
        </w:rPr>
        <w:t>25</w:t>
      </w:r>
      <w:r>
        <w:rPr>
          <w:rFonts w:eastAsia="標楷體"/>
          <w:color w:val="000000"/>
        </w:rPr>
        <w:t>人。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</w:rPr>
        <w:t>研習日期：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/>
        </w:rPr>
        <w:t>24</w:t>
      </w:r>
      <w:r>
        <w:rPr>
          <w:rFonts w:eastAsia="標楷體"/>
        </w:rPr>
        <w:t>日（星期一）。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</w:rPr>
        <w:t>報名時間：</w:t>
      </w:r>
      <w:r>
        <w:rPr>
          <w:rFonts w:eastAsia="標楷體"/>
          <w:bCs/>
        </w:rPr>
        <w:t>即日起至</w:t>
      </w:r>
      <w:r>
        <w:rPr>
          <w:rFonts w:eastAsia="標楷體"/>
          <w:bCs/>
        </w:rPr>
        <w:t>2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>12</w:t>
      </w:r>
      <w:r>
        <w:rPr>
          <w:rFonts w:eastAsia="標楷體"/>
          <w:bCs/>
        </w:rPr>
        <w:t>日（星期三）截止。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研習地點：</w:t>
      </w:r>
      <w:r>
        <w:rPr>
          <w:rFonts w:eastAsia="標楷體"/>
          <w:color w:val="000000"/>
        </w:rPr>
        <w:t>臺北市日新國小莊敬樓三樓手作積木館（臺北市大同區太原路</w:t>
      </w:r>
      <w:r>
        <w:rPr>
          <w:rFonts w:eastAsia="標楷體"/>
          <w:color w:val="000000"/>
        </w:rPr>
        <w:t>151</w:t>
      </w:r>
      <w:r>
        <w:rPr>
          <w:rFonts w:eastAsia="標楷體"/>
          <w:color w:val="000000"/>
        </w:rPr>
        <w:t>號），</w:t>
      </w:r>
      <w:r>
        <w:rPr>
          <w:rFonts w:eastAsia="標楷體"/>
          <w:b/>
          <w:color w:val="000000"/>
          <w:u w:val="single"/>
        </w:rPr>
        <w:t>現場不提供車位，請搭乘大眾運輸工具前往。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研習課程：（課程若有更動以網路公布為準）</w:t>
      </w:r>
    </w:p>
    <w:p w:rsidR="00231A37" w:rsidRDefault="00231A37">
      <w:pPr>
        <w:pStyle w:val="aa"/>
        <w:snapToGrid w:val="0"/>
        <w:spacing w:line="360" w:lineRule="atLeast"/>
        <w:ind w:left="360"/>
        <w:jc w:val="both"/>
        <w:rPr>
          <w:rFonts w:eastAsia="標楷體"/>
          <w:b/>
        </w:rPr>
      </w:pPr>
    </w:p>
    <w:tbl>
      <w:tblPr>
        <w:tblW w:w="87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469"/>
        <w:gridCol w:w="709"/>
        <w:gridCol w:w="3397"/>
        <w:gridCol w:w="2236"/>
      </w:tblGrid>
      <w:tr w:rsidR="00231A37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期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節數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內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講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座</w:t>
            </w:r>
          </w:p>
        </w:tc>
      </w:tr>
      <w:tr w:rsidR="00231A37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2/24</w:t>
            </w:r>
          </w:p>
          <w:p w:rsidR="00231A37" w:rsidRDefault="006F38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（一）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13:30~14:20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108" w:hanging="84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70"/>
              <w:rPr>
                <w:rFonts w:eastAsia="標楷體"/>
              </w:rPr>
            </w:pPr>
            <w:r>
              <w:rPr>
                <w:rFonts w:eastAsia="標楷體"/>
              </w:rPr>
              <w:t>何謂運算思維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7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主講座：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許庭嘉特聘教授</w:t>
            </w:r>
          </w:p>
          <w:p w:rsidR="00231A37" w:rsidRDefault="006F38CE">
            <w:pPr>
              <w:spacing w:line="360" w:lineRule="exact"/>
              <w:ind w:right="-70"/>
              <w:rPr>
                <w:rFonts w:eastAsia="標楷體"/>
              </w:rPr>
            </w:pP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臺灣師範大學科技應用與人力資源發展學系</w:t>
            </w:r>
            <w:r>
              <w:rPr>
                <w:rFonts w:eastAsia="標楷體"/>
              </w:rPr>
              <w:t>)</w:t>
            </w:r>
          </w:p>
          <w:p w:rsidR="00231A37" w:rsidRDefault="006F38CE">
            <w:pPr>
              <w:spacing w:line="360" w:lineRule="exact"/>
              <w:ind w:right="-7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助講座：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/>
                <w:b/>
              </w:rPr>
              <w:t>黃美月主任</w:t>
            </w:r>
          </w:p>
          <w:p w:rsidR="00231A37" w:rsidRDefault="006F38CE">
            <w:pPr>
              <w:spacing w:line="360" w:lineRule="exact"/>
              <w:ind w:right="-7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日新國小</w:t>
            </w:r>
            <w:r>
              <w:rPr>
                <w:rFonts w:eastAsia="標楷體"/>
              </w:rPr>
              <w:t>)</w:t>
            </w:r>
          </w:p>
        </w:tc>
      </w:tr>
      <w:tr w:rsidR="00231A37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231A3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tabs>
                <w:tab w:val="left" w:pos="2292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14:30~15:20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70"/>
              <w:rPr>
                <w:rFonts w:eastAsia="標楷體"/>
              </w:rPr>
            </w:pPr>
            <w:r>
              <w:rPr>
                <w:rFonts w:eastAsia="標楷體"/>
              </w:rPr>
              <w:t>運用桌遊指導學生循序結構、選擇結構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231A37">
            <w:pPr>
              <w:spacing w:line="360" w:lineRule="exact"/>
              <w:ind w:left="-108" w:right="-70"/>
              <w:jc w:val="center"/>
              <w:rPr>
                <w:rFonts w:eastAsia="標楷體"/>
              </w:rPr>
            </w:pPr>
          </w:p>
        </w:tc>
      </w:tr>
      <w:tr w:rsidR="00231A37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231A37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tabs>
                <w:tab w:val="left" w:pos="2292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15:30~16:20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108" w:hanging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6F38CE">
            <w:pPr>
              <w:spacing w:line="360" w:lineRule="exact"/>
              <w:ind w:right="-70"/>
              <w:rPr>
                <w:rFonts w:eastAsia="標楷體"/>
              </w:rPr>
            </w:pPr>
            <w:r>
              <w:rPr>
                <w:rFonts w:eastAsia="標楷體"/>
              </w:rPr>
              <w:t>運用桌遊指導學生重複結構、副程式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A37" w:rsidRDefault="00231A37">
            <w:pPr>
              <w:spacing w:line="360" w:lineRule="exact"/>
              <w:ind w:left="-108" w:right="-70"/>
              <w:jc w:val="center"/>
              <w:rPr>
                <w:rFonts w:eastAsia="標楷體"/>
              </w:rPr>
            </w:pPr>
          </w:p>
        </w:tc>
      </w:tr>
    </w:tbl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</w:pPr>
      <w:r>
        <w:rPr>
          <w:rFonts w:eastAsia="標楷體"/>
          <w:b/>
        </w:rPr>
        <w:t>研習方式：</w:t>
      </w:r>
      <w:r>
        <w:rPr>
          <w:rFonts w:eastAsia="標楷體"/>
        </w:rPr>
        <w:t>講授及活動。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>
        <w:rPr>
          <w:rFonts w:eastAsia="標楷體"/>
          <w:b/>
        </w:rPr>
        <w:t>報名方式</w:t>
      </w:r>
    </w:p>
    <w:p w:rsidR="00231A37" w:rsidRDefault="006F38CE">
      <w:pPr>
        <w:numPr>
          <w:ilvl w:val="0"/>
          <w:numId w:val="2"/>
        </w:numPr>
        <w:snapToGrid w:val="0"/>
        <w:spacing w:line="360" w:lineRule="atLeast"/>
        <w:ind w:left="644" w:hanging="474"/>
      </w:pPr>
      <w:r>
        <w:rPr>
          <w:rFonts w:eastAsia="標楷體"/>
        </w:rPr>
        <w:t>請於報名截止日前逕行登入臺北市教師在職研習網站</w:t>
      </w:r>
      <w:r>
        <w:rPr>
          <w:rFonts w:eastAsia="標楷體"/>
        </w:rPr>
        <w:t>(http://insc.tp.edu.tw)</w:t>
      </w:r>
      <w:r>
        <w:rPr>
          <w:rFonts w:eastAsia="標楷體"/>
        </w:rPr>
        <w:t>報名，並列印報名表經行政程序核准後，再由貴機關</w:t>
      </w:r>
      <w:r>
        <w:rPr>
          <w:rFonts w:eastAsia="標楷體"/>
        </w:rPr>
        <w:t>(</w:t>
      </w:r>
      <w:r>
        <w:rPr>
          <w:rFonts w:eastAsia="標楷體"/>
        </w:rPr>
        <w:t>學校</w:t>
      </w:r>
      <w:r>
        <w:rPr>
          <w:rFonts w:eastAsia="標楷體"/>
        </w:rPr>
        <w:t>)</w:t>
      </w:r>
      <w:r>
        <w:rPr>
          <w:rFonts w:eastAsia="標楷體"/>
        </w:rPr>
        <w:t>研習承辦人進入系統辦理</w:t>
      </w:r>
      <w:r>
        <w:rPr>
          <w:rFonts w:eastAsia="標楷體"/>
          <w:u w:val="single"/>
        </w:rPr>
        <w:t>薦派報名</w:t>
      </w:r>
      <w:r>
        <w:rPr>
          <w:rFonts w:eastAsia="標楷體"/>
        </w:rPr>
        <w:t>。</w:t>
      </w:r>
    </w:p>
    <w:p w:rsidR="00231A37" w:rsidRDefault="006F38CE">
      <w:pPr>
        <w:numPr>
          <w:ilvl w:val="0"/>
          <w:numId w:val="2"/>
        </w:numPr>
        <w:snapToGrid w:val="0"/>
        <w:spacing w:line="360" w:lineRule="atLeast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</w:t>
      </w:r>
      <w:r>
        <w:rPr>
          <w:rFonts w:eastAsia="標楷體"/>
        </w:rPr>
        <w:t>(</w:t>
      </w:r>
      <w:r>
        <w:rPr>
          <w:rFonts w:eastAsia="標楷體"/>
        </w:rPr>
        <w:t>以各研習員於教師在職研習網中登錄之電子郵件信箱通知</w:t>
      </w:r>
      <w:r>
        <w:rPr>
          <w:rFonts w:eastAsia="標楷體"/>
        </w:rPr>
        <w:t>)</w:t>
      </w:r>
      <w:r>
        <w:rPr>
          <w:rFonts w:eastAsia="標楷體"/>
        </w:rPr>
        <w:t>，請自行列印研習通知並準時參加研習。</w:t>
      </w:r>
    </w:p>
    <w:p w:rsidR="00231A37" w:rsidRDefault="006F38CE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>
        <w:rPr>
          <w:rFonts w:eastAsia="標楷體"/>
          <w:b/>
        </w:rPr>
        <w:t>注意事項</w:t>
      </w:r>
    </w:p>
    <w:p w:rsidR="00231A37" w:rsidRDefault="006F38CE">
      <w:pPr>
        <w:numPr>
          <w:ilvl w:val="0"/>
          <w:numId w:val="3"/>
        </w:numPr>
        <w:snapToGrid w:val="0"/>
        <w:spacing w:line="360" w:lineRule="atLeast"/>
        <w:ind w:left="630" w:hanging="472"/>
      </w:pPr>
      <w:r>
        <w:rPr>
          <w:rFonts w:eastAsia="標楷體"/>
          <w:b/>
        </w:rPr>
        <w:t>本研習依照報名順序優先錄取</w:t>
      </w:r>
      <w:r>
        <w:rPr>
          <w:rFonts w:eastAsia="標楷體"/>
        </w:rPr>
        <w:t>（學校需在報名截止日前完成薦派報名作業）</w:t>
      </w:r>
      <w:r>
        <w:rPr>
          <w:rFonts w:eastAsia="標楷體"/>
        </w:rPr>
        <w:t>，如報名踴躍而致額滿，本中心得提前截止報名，並於截止後</w:t>
      </w:r>
      <w:r>
        <w:rPr>
          <w:rFonts w:eastAsia="標楷體"/>
        </w:rPr>
        <w:t>3</w:t>
      </w:r>
      <w:r>
        <w:rPr>
          <w:rFonts w:eastAsia="標楷體"/>
        </w:rPr>
        <w:t>日內公布研習名單（以各研習員於教師在職研習網中登錄之電子郵件信箱通知）。</w:t>
      </w:r>
    </w:p>
    <w:p w:rsidR="00231A37" w:rsidRDefault="006F38CE">
      <w:pPr>
        <w:numPr>
          <w:ilvl w:val="0"/>
          <w:numId w:val="3"/>
        </w:numPr>
        <w:snapToGrid w:val="0"/>
        <w:spacing w:line="360" w:lineRule="atLeast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 w:rsidR="00231A37" w:rsidRDefault="006F38CE">
      <w:pPr>
        <w:numPr>
          <w:ilvl w:val="0"/>
          <w:numId w:val="3"/>
        </w:numPr>
        <w:snapToGrid w:val="0"/>
        <w:spacing w:line="360" w:lineRule="atLeast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</w:t>
      </w:r>
      <w:r>
        <w:rPr>
          <w:rFonts w:eastAsia="標楷體"/>
        </w:rPr>
        <w:t>登計。</w:t>
      </w:r>
    </w:p>
    <w:p w:rsidR="00231A37" w:rsidRDefault="006F38CE">
      <w:pPr>
        <w:numPr>
          <w:ilvl w:val="0"/>
          <w:numId w:val="3"/>
        </w:numPr>
        <w:snapToGrid w:val="0"/>
        <w:spacing w:line="360" w:lineRule="atLeast"/>
        <w:ind w:left="616" w:hanging="446"/>
        <w:rPr>
          <w:rFonts w:eastAsia="標楷體"/>
        </w:rPr>
      </w:pPr>
      <w:r>
        <w:rPr>
          <w:rFonts w:eastAsia="標楷體"/>
        </w:rPr>
        <w:lastRenderedPageBreak/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31A37" w:rsidRDefault="006F38CE">
      <w:pPr>
        <w:numPr>
          <w:ilvl w:val="0"/>
          <w:numId w:val="3"/>
        </w:numPr>
        <w:snapToGrid w:val="0"/>
        <w:spacing w:line="360" w:lineRule="atLeast"/>
        <w:ind w:left="616" w:hanging="446"/>
        <w:rPr>
          <w:rFonts w:eastAsia="標楷體"/>
        </w:rPr>
      </w:pPr>
      <w:r>
        <w:rPr>
          <w:rFonts w:eastAsia="標楷體"/>
        </w:rPr>
        <w:t>交通資訊</w:t>
      </w:r>
    </w:p>
    <w:p w:rsidR="00231A37" w:rsidRDefault="006F38CE">
      <w:pPr>
        <w:snapToGrid w:val="0"/>
        <w:spacing w:line="360" w:lineRule="atLeast"/>
        <w:ind w:left="1560" w:hanging="991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捷運：松山</w:t>
      </w:r>
      <w:r>
        <w:rPr>
          <w:rFonts w:eastAsia="標楷體"/>
        </w:rPr>
        <w:t>-</w:t>
      </w:r>
      <w:r>
        <w:rPr>
          <w:rFonts w:eastAsia="標楷體"/>
        </w:rPr>
        <w:t>新店線〈中山站</w:t>
      </w:r>
      <w:r>
        <w:rPr>
          <w:rFonts w:eastAsia="標楷體"/>
        </w:rPr>
        <w:t>5</w:t>
      </w:r>
      <w:r>
        <w:rPr>
          <w:rFonts w:eastAsia="標楷體"/>
        </w:rPr>
        <w:t>號出口〉，出站後右轉沿南京西路往圓環方向步行約</w:t>
      </w:r>
      <w:r>
        <w:rPr>
          <w:rFonts w:eastAsia="標楷體"/>
        </w:rPr>
        <w:t>5</w:t>
      </w:r>
      <w:r>
        <w:rPr>
          <w:rFonts w:eastAsia="標楷體"/>
        </w:rPr>
        <w:t>分鐘。</w:t>
      </w:r>
    </w:p>
    <w:p w:rsidR="00231A37" w:rsidRDefault="006F38CE">
      <w:pPr>
        <w:snapToGrid w:val="0"/>
        <w:spacing w:line="360" w:lineRule="atLeast"/>
        <w:ind w:left="1560" w:hanging="991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公車：</w:t>
      </w:r>
      <w:r>
        <w:rPr>
          <w:rFonts w:eastAsia="標楷體"/>
        </w:rPr>
        <w:t>2</w:t>
      </w:r>
      <w:r>
        <w:rPr>
          <w:rFonts w:eastAsia="標楷體"/>
        </w:rPr>
        <w:t>，</w:t>
      </w:r>
      <w:r>
        <w:rPr>
          <w:rFonts w:eastAsia="標楷體"/>
        </w:rPr>
        <w:t>46</w:t>
      </w:r>
      <w:r>
        <w:rPr>
          <w:rFonts w:eastAsia="標楷體"/>
        </w:rPr>
        <w:t>，</w:t>
      </w:r>
      <w:r>
        <w:rPr>
          <w:rFonts w:eastAsia="標楷體"/>
        </w:rPr>
        <w:t>52</w:t>
      </w:r>
      <w:r>
        <w:rPr>
          <w:rFonts w:eastAsia="標楷體"/>
        </w:rPr>
        <w:t>，</w:t>
      </w:r>
      <w:r>
        <w:rPr>
          <w:rFonts w:eastAsia="標楷體"/>
        </w:rPr>
        <w:t>54</w:t>
      </w:r>
      <w:r>
        <w:rPr>
          <w:rFonts w:eastAsia="標楷體"/>
        </w:rPr>
        <w:t>，</w:t>
      </w:r>
      <w:r>
        <w:rPr>
          <w:rFonts w:eastAsia="標楷體"/>
        </w:rPr>
        <w:t>63</w:t>
      </w:r>
      <w:r>
        <w:rPr>
          <w:rFonts w:eastAsia="標楷體"/>
        </w:rPr>
        <w:t>，</w:t>
      </w:r>
      <w:r>
        <w:rPr>
          <w:rFonts w:eastAsia="標楷體"/>
        </w:rPr>
        <w:t>221</w:t>
      </w:r>
      <w:r>
        <w:rPr>
          <w:rFonts w:eastAsia="標楷體"/>
        </w:rPr>
        <w:t>，</w:t>
      </w:r>
      <w:r>
        <w:rPr>
          <w:rFonts w:eastAsia="標楷體"/>
        </w:rPr>
        <w:t>282</w:t>
      </w:r>
      <w:r>
        <w:rPr>
          <w:rFonts w:eastAsia="標楷體"/>
        </w:rPr>
        <w:t>，</w:t>
      </w:r>
      <w:r>
        <w:rPr>
          <w:rFonts w:eastAsia="標楷體"/>
        </w:rPr>
        <w:t>288</w:t>
      </w:r>
      <w:r>
        <w:rPr>
          <w:rFonts w:eastAsia="標楷體"/>
        </w:rPr>
        <w:t>，</w:t>
      </w:r>
      <w:r>
        <w:rPr>
          <w:rFonts w:eastAsia="標楷體"/>
        </w:rPr>
        <w:t>306</w:t>
      </w:r>
      <w:r>
        <w:rPr>
          <w:rFonts w:eastAsia="標楷體"/>
        </w:rPr>
        <w:t>，</w:t>
      </w:r>
      <w:r>
        <w:rPr>
          <w:rFonts w:eastAsia="標楷體"/>
        </w:rPr>
        <w:t>292</w:t>
      </w:r>
      <w:r>
        <w:rPr>
          <w:rFonts w:eastAsia="標楷體"/>
        </w:rPr>
        <w:t>，</w:t>
      </w:r>
      <w:r>
        <w:rPr>
          <w:rFonts w:eastAsia="標楷體"/>
        </w:rPr>
        <w:t>613</w:t>
      </w:r>
      <w:r>
        <w:rPr>
          <w:rFonts w:eastAsia="標楷體"/>
        </w:rPr>
        <w:t>，</w:t>
      </w:r>
      <w:r>
        <w:rPr>
          <w:rFonts w:eastAsia="標楷體"/>
        </w:rPr>
        <w:t>636</w:t>
      </w:r>
      <w:r>
        <w:rPr>
          <w:rFonts w:eastAsia="標楷體"/>
        </w:rPr>
        <w:t>，</w:t>
      </w:r>
      <w:r>
        <w:rPr>
          <w:rFonts w:eastAsia="標楷體"/>
        </w:rPr>
        <w:t>638</w:t>
      </w:r>
      <w:r>
        <w:rPr>
          <w:rFonts w:eastAsia="標楷體"/>
        </w:rPr>
        <w:t>，指南</w:t>
      </w:r>
      <w:r>
        <w:rPr>
          <w:rFonts w:eastAsia="標楷體"/>
        </w:rPr>
        <w:t>1</w:t>
      </w:r>
      <w:r>
        <w:rPr>
          <w:rFonts w:eastAsia="標楷體"/>
        </w:rPr>
        <w:t>，指南</w:t>
      </w:r>
      <w:r>
        <w:rPr>
          <w:rFonts w:eastAsia="標楷體"/>
        </w:rPr>
        <w:t>2</w:t>
      </w:r>
      <w:r>
        <w:rPr>
          <w:rFonts w:eastAsia="標楷體"/>
        </w:rPr>
        <w:t>，指南</w:t>
      </w:r>
      <w:r>
        <w:rPr>
          <w:rFonts w:eastAsia="標楷體"/>
        </w:rPr>
        <w:t>5</w:t>
      </w:r>
      <w:r>
        <w:rPr>
          <w:rFonts w:eastAsia="標楷體"/>
        </w:rPr>
        <w:t>，民權幹線至圓環站。</w:t>
      </w:r>
    </w:p>
    <w:p w:rsidR="00231A37" w:rsidRDefault="006F38CE">
      <w:pPr>
        <w:snapToGrid w:val="0"/>
        <w:spacing w:line="360" w:lineRule="atLeast"/>
        <w:ind w:left="1560" w:hanging="991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火車：至臺北車站由北門出，沿承德路直行至與南京西路交叉口。</w:t>
      </w:r>
    </w:p>
    <w:p w:rsidR="00231A37" w:rsidRDefault="006F38CE">
      <w:pPr>
        <w:numPr>
          <w:ilvl w:val="0"/>
          <w:numId w:val="4"/>
        </w:numPr>
        <w:snapToGrid w:val="0"/>
        <w:spacing w:line="360" w:lineRule="atLeast"/>
        <w:ind w:left="616" w:hanging="758"/>
        <w:jc w:val="both"/>
      </w:pPr>
      <w:r>
        <w:rPr>
          <w:rFonts w:eastAsia="標楷體"/>
          <w:b/>
        </w:rPr>
        <w:t>研習時數</w:t>
      </w:r>
      <w:r>
        <w:rPr>
          <w:rFonts w:eastAsia="標楷體"/>
          <w:b/>
          <w:kern w:val="0"/>
        </w:rPr>
        <w:t>：</w:t>
      </w:r>
      <w:r>
        <w:rPr>
          <w:rFonts w:eastAsia="標楷體"/>
        </w:rPr>
        <w:t>全程參與者核發</w:t>
      </w:r>
      <w:r>
        <w:rPr>
          <w:rFonts w:eastAsia="標楷體"/>
        </w:rPr>
        <w:t>3</w:t>
      </w:r>
      <w:r>
        <w:rPr>
          <w:rFonts w:eastAsia="標楷體"/>
        </w:rPr>
        <w:t>小時研習時</w:t>
      </w:r>
      <w:r>
        <w:rPr>
          <w:rFonts w:eastAsia="標楷體"/>
        </w:rPr>
        <w:t>數，請假時數超過研習總時數之五分之一（</w:t>
      </w:r>
      <w:r>
        <w:rPr>
          <w:rFonts w:eastAsia="標楷體"/>
        </w:rPr>
        <w:t>1</w:t>
      </w:r>
      <w:r>
        <w:rPr>
          <w:rFonts w:eastAsia="標楷體"/>
        </w:rPr>
        <w:t>小時）者，不給予研習時數。</w:t>
      </w:r>
      <w:r>
        <w:rPr>
          <w:rFonts w:eastAsia="標楷體"/>
          <w:color w:val="000000"/>
        </w:rPr>
        <w:t>研習結束後，本中心將彙整研習員請假紀錄函送至</w:t>
      </w:r>
      <w:r>
        <w:rPr>
          <w:rFonts w:eastAsia="標楷體"/>
          <w:kern w:val="0"/>
        </w:rPr>
        <w:t>研習員所屬學校，依權責列入差假登記之參考。</w:t>
      </w:r>
    </w:p>
    <w:p w:rsidR="00231A37" w:rsidRDefault="006F38CE">
      <w:pPr>
        <w:numPr>
          <w:ilvl w:val="0"/>
          <w:numId w:val="4"/>
        </w:numPr>
        <w:snapToGrid w:val="0"/>
        <w:spacing w:line="360" w:lineRule="atLeast"/>
        <w:ind w:left="-377" w:firstLine="240"/>
        <w:jc w:val="both"/>
      </w:pPr>
      <w:r>
        <w:rPr>
          <w:rFonts w:eastAsia="標楷體"/>
          <w:b/>
        </w:rPr>
        <w:t>聯絡方式：</w:t>
      </w:r>
      <w:r>
        <w:rPr>
          <w:rFonts w:eastAsia="標楷體"/>
        </w:rPr>
        <w:t>洪源泰研究教師，聯繫電話：</w:t>
      </w:r>
      <w:r>
        <w:rPr>
          <w:rFonts w:eastAsia="標楷體"/>
        </w:rPr>
        <w:t>2861-6942</w:t>
      </w:r>
      <w:r>
        <w:rPr>
          <w:rFonts w:eastAsia="標楷體"/>
        </w:rPr>
        <w:t>轉</w:t>
      </w:r>
      <w:r>
        <w:rPr>
          <w:rFonts w:eastAsia="標楷體"/>
        </w:rPr>
        <w:t>211</w:t>
      </w:r>
      <w:r>
        <w:rPr>
          <w:rFonts w:eastAsia="標楷體"/>
        </w:rPr>
        <w:t>；傳真：</w:t>
      </w:r>
      <w:r>
        <w:rPr>
          <w:rFonts w:eastAsia="標楷體"/>
        </w:rPr>
        <w:t>2861-6702</w:t>
      </w:r>
      <w:r>
        <w:rPr>
          <w:rFonts w:eastAsia="標楷體"/>
        </w:rPr>
        <w:t>，</w:t>
      </w:r>
    </w:p>
    <w:p w:rsidR="00231A37" w:rsidRDefault="006F38CE">
      <w:pPr>
        <w:snapToGrid w:val="0"/>
        <w:spacing w:line="360" w:lineRule="atLeast"/>
        <w:ind w:left="480" w:firstLine="240"/>
        <w:rPr>
          <w:rFonts w:eastAsia="標楷體"/>
        </w:rPr>
      </w:pPr>
      <w:r>
        <w:rPr>
          <w:rFonts w:eastAsia="標楷體"/>
        </w:rPr>
        <w:t xml:space="preserve">         </w:t>
      </w:r>
      <w:r>
        <w:rPr>
          <w:rFonts w:eastAsia="標楷體"/>
        </w:rPr>
        <w:t>電子信箱：</w:t>
      </w:r>
      <w:r>
        <w:rPr>
          <w:rFonts w:eastAsia="標楷體"/>
        </w:rPr>
        <w:t>mikeyhung@gmail.com</w:t>
      </w:r>
    </w:p>
    <w:p w:rsidR="00231A37" w:rsidRDefault="006F38CE">
      <w:pPr>
        <w:numPr>
          <w:ilvl w:val="0"/>
          <w:numId w:val="4"/>
        </w:numPr>
        <w:snapToGrid w:val="0"/>
        <w:spacing w:line="360" w:lineRule="atLeast"/>
        <w:ind w:left="709" w:hanging="851"/>
        <w:jc w:val="both"/>
      </w:pPr>
      <w:r>
        <w:rPr>
          <w:rFonts w:eastAsia="標楷體"/>
          <w:b/>
        </w:rPr>
        <w:t>研</w:t>
      </w:r>
      <w:r>
        <w:rPr>
          <w:rFonts w:eastAsia="標楷體"/>
          <w:b/>
          <w:bCs/>
        </w:rPr>
        <w:t>習經費︰</w:t>
      </w:r>
      <w:r>
        <w:rPr>
          <w:rFonts w:eastAsia="標楷體"/>
          <w:bCs/>
        </w:rPr>
        <w:t>由本中心研習經費項下支應，覈實核銷。</w:t>
      </w:r>
    </w:p>
    <w:p w:rsidR="00231A37" w:rsidRDefault="006F38CE">
      <w:pPr>
        <w:numPr>
          <w:ilvl w:val="0"/>
          <w:numId w:val="4"/>
        </w:numPr>
        <w:snapToGrid w:val="0"/>
        <w:spacing w:line="360" w:lineRule="atLeast"/>
        <w:ind w:left="709" w:hanging="851"/>
        <w:jc w:val="both"/>
      </w:pPr>
      <w:r>
        <w:rPr>
          <w:rFonts w:eastAsia="標楷體"/>
          <w:b/>
          <w:bCs/>
        </w:rPr>
        <w:t>其</w:t>
      </w:r>
      <w:r>
        <w:rPr>
          <w:rFonts w:eastAsia="標楷體"/>
          <w:b/>
          <w:bCs/>
        </w:rPr>
        <w:t xml:space="preserve">    </w:t>
      </w:r>
      <w:r>
        <w:rPr>
          <w:rFonts w:eastAsia="標楷體"/>
          <w:b/>
          <w:bCs/>
        </w:rPr>
        <w:t>他：</w:t>
      </w:r>
      <w:r>
        <w:rPr>
          <w:rFonts w:eastAsia="標楷體"/>
          <w:bCs/>
        </w:rPr>
        <w:t>本研習計畫</w:t>
      </w:r>
      <w:r>
        <w:rPr>
          <w:rFonts w:eastAsia="標楷體"/>
          <w:color w:val="000000"/>
        </w:rPr>
        <w:t>陳奉</w:t>
      </w:r>
      <w:r>
        <w:rPr>
          <w:rFonts w:eastAsia="標楷體"/>
          <w:bCs/>
        </w:rPr>
        <w:t>本中心主任核可後實施，修正時亦同。</w:t>
      </w:r>
    </w:p>
    <w:p w:rsidR="00231A37" w:rsidRDefault="00231A37"/>
    <w:sectPr w:rsidR="00231A37">
      <w:pgSz w:w="11906" w:h="16838"/>
      <w:pgMar w:top="567" w:right="991" w:bottom="425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CE" w:rsidRDefault="006F38CE">
      <w:r>
        <w:separator/>
      </w:r>
    </w:p>
  </w:endnote>
  <w:endnote w:type="continuationSeparator" w:id="0">
    <w:p w:rsidR="006F38CE" w:rsidRDefault="006F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CE" w:rsidRDefault="006F38CE">
      <w:r>
        <w:rPr>
          <w:color w:val="000000"/>
        </w:rPr>
        <w:separator/>
      </w:r>
    </w:p>
  </w:footnote>
  <w:footnote w:type="continuationSeparator" w:id="0">
    <w:p w:rsidR="006F38CE" w:rsidRDefault="006F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F58"/>
    <w:multiLevelType w:val="multilevel"/>
    <w:tmpl w:val="1C229134"/>
    <w:lvl w:ilvl="0">
      <w:start w:val="1"/>
      <w:numFmt w:val="taiwaneseCountingThousand"/>
      <w:suff w:val="space"/>
      <w:lvlText w:val="(%1)"/>
      <w:lvlJc w:val="left"/>
      <w:pPr>
        <w:ind w:left="964" w:hanging="794"/>
      </w:pPr>
      <w:rPr>
        <w:b w:val="0"/>
      </w:rPr>
    </w:lvl>
    <w:lvl w:ilvl="1">
      <w:start w:val="1"/>
      <w:numFmt w:val="decimal"/>
      <w:suff w:val="space"/>
      <w:lvlText w:val="%2."/>
      <w:lvlJc w:val="left"/>
      <w:pPr>
        <w:ind w:left="530" w:hanging="36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1457D11"/>
    <w:multiLevelType w:val="multilevel"/>
    <w:tmpl w:val="8F94B934"/>
    <w:lvl w:ilvl="0">
      <w:start w:val="13"/>
      <w:numFmt w:val="taiwaneseCountingThousand"/>
      <w:suff w:val="space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90666E"/>
    <w:multiLevelType w:val="multilevel"/>
    <w:tmpl w:val="9F46A814"/>
    <w:lvl w:ilvl="0">
      <w:start w:val="1"/>
      <w:numFmt w:val="taiwaneseCountingThousand"/>
      <w:suff w:val="space"/>
      <w:lvlText w:val="%1、"/>
      <w:lvlJc w:val="left"/>
      <w:pPr>
        <w:ind w:left="1701" w:hanging="1701"/>
      </w:pPr>
      <w:rPr>
        <w:b/>
        <w:lang w:val="en-US"/>
      </w:rPr>
    </w:lvl>
    <w:lvl w:ilvl="1">
      <w:start w:val="1"/>
      <w:numFmt w:val="taiwaneseCountingThousand"/>
      <w:lvlText w:val="(%2)"/>
      <w:lvlJc w:val="left"/>
      <w:pPr>
        <w:ind w:left="575" w:hanging="405"/>
      </w:pPr>
      <w:rPr>
        <w:b w:val="0"/>
      </w:rPr>
    </w:lvl>
    <w:lvl w:ilvl="2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765EC4"/>
    <w:multiLevelType w:val="multilevel"/>
    <w:tmpl w:val="B524DBD0"/>
    <w:lvl w:ilvl="0">
      <w:start w:val="1"/>
      <w:numFmt w:val="taiwaneseCountingThousand"/>
      <w:suff w:val="space"/>
      <w:lvlText w:val="(%1)"/>
      <w:lvlJc w:val="left"/>
      <w:pPr>
        <w:ind w:left="964" w:hanging="79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1A37"/>
    <w:rsid w:val="00231A37"/>
    <w:rsid w:val="006F38CE"/>
    <w:rsid w:val="008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D5069-EF73-4BF8-A5A0-611D700F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xdb">
    <w:name w:val="_xdb"/>
    <w:basedOn w:val="a0"/>
  </w:style>
  <w:style w:type="character" w:customStyle="1" w:styleId="apple-converted-space">
    <w:name w:val="apple-converted-space"/>
    <w:basedOn w:val="a0"/>
  </w:style>
  <w:style w:type="character" w:customStyle="1" w:styleId="xbe">
    <w:name w:val="_xbe"/>
    <w:basedOn w:val="a0"/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曾美惠</dc:creator>
  <cp:lastModifiedBy>教學組</cp:lastModifiedBy>
  <cp:revision>2</cp:revision>
  <cp:lastPrinted>2019-03-06T08:50:00Z</cp:lastPrinted>
  <dcterms:created xsi:type="dcterms:W3CDTF">2019-12-30T09:07:00Z</dcterms:created>
  <dcterms:modified xsi:type="dcterms:W3CDTF">2019-12-30T09:07:00Z</dcterms:modified>
</cp:coreProperties>
</file>